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Система  профессиональных ограждений «Дуплекс»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Данный тип ограждения изготавливается из стальной проволоки толщиной 6 мм. Путем волочения проволока доводится до требуемого диаметра,  затем нарезается нужной длины и сваривается в карты определенного размера с ячейкой 50х200 мм. Для придания секции ограждения дополнительной жесткости горизонтальные  прутки- двойные. Далее секции поступают в гальванический цех,  где  оцинковываются (толщина цинкового покрытия 15-25 мкм.) и поступают в цех для покрытия ПВХ (толщина слоя ПВХ 0,4-0,6мм).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лайт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(5+5)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9,8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стандарт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82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4140"/>
        <w:tblGridChange w:id="0">
          <w:tblGrid>
            <w:gridCol w:w="5688"/>
            <w:gridCol w:w="4140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(5+5)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12,2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супер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(5+5)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16,8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лайт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16 (8+8)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13,3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стандарт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16 (8+8)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16,7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супер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16 (8+8)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22,9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лайт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22 (11+11)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18,7кг.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стандарт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22 (11+11)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23,4кг.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супер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22 (11+11)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32,1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лайт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26 (13+13)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22,2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4,5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стандарт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26 (13+13)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27,8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«Дуплекс супер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26 (13+13)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38,3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smallCaps w:val="0"/>
                <w:rtl w:val="0"/>
              </w:rPr>
              <w:t xml:space="preserve">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99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